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1F" w:rsidRPr="00EB71B0" w:rsidRDefault="0093211F" w:rsidP="000F410C">
      <w:pPr>
        <w:jc w:val="center"/>
        <w:rPr>
          <w:sz w:val="26"/>
          <w:szCs w:val="26"/>
        </w:rPr>
      </w:pPr>
      <w:r>
        <w:rPr>
          <w:sz w:val="26"/>
          <w:szCs w:val="26"/>
        </w:rPr>
        <w:t>Экспертное з</w:t>
      </w:r>
      <w:r w:rsidRPr="00D64242">
        <w:rPr>
          <w:sz w:val="26"/>
          <w:szCs w:val="26"/>
        </w:rPr>
        <w:t>аключение № 2</w:t>
      </w:r>
      <w:r>
        <w:rPr>
          <w:sz w:val="26"/>
          <w:szCs w:val="26"/>
        </w:rPr>
        <w:t>5</w:t>
      </w:r>
      <w:r w:rsidRPr="00D64242">
        <w:rPr>
          <w:sz w:val="26"/>
          <w:szCs w:val="26"/>
        </w:rPr>
        <w:t>/Д</w:t>
      </w:r>
    </w:p>
    <w:p w:rsidR="0093211F" w:rsidRDefault="0093211F" w:rsidP="000F410C">
      <w:pPr>
        <w:jc w:val="center"/>
        <w:rPr>
          <w:sz w:val="26"/>
          <w:szCs w:val="26"/>
        </w:rPr>
      </w:pPr>
      <w:r w:rsidRPr="00EB71B0">
        <w:rPr>
          <w:sz w:val="26"/>
          <w:szCs w:val="26"/>
        </w:rPr>
        <w:t>на проект решения Думы города Пыть-Яха «О</w:t>
      </w:r>
      <w:r>
        <w:rPr>
          <w:sz w:val="26"/>
          <w:szCs w:val="26"/>
        </w:rPr>
        <w:t xml:space="preserve"> внесении изменений в решение Думы города Пыть-Яха от 22.03.2016 № 388 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47)</w:t>
      </w:r>
    </w:p>
    <w:p w:rsidR="0093211F" w:rsidRPr="00EB71B0" w:rsidRDefault="0093211F" w:rsidP="000F410C">
      <w:pPr>
        <w:jc w:val="center"/>
        <w:rPr>
          <w:sz w:val="26"/>
          <w:szCs w:val="26"/>
        </w:rPr>
      </w:pPr>
    </w:p>
    <w:p w:rsidR="0093211F" w:rsidRPr="00BC4898" w:rsidRDefault="0093211F" w:rsidP="000F410C">
      <w:pPr>
        <w:jc w:val="both"/>
        <w:rPr>
          <w:sz w:val="26"/>
          <w:szCs w:val="26"/>
        </w:rPr>
      </w:pPr>
      <w:r w:rsidRPr="00EB71B0">
        <w:rPr>
          <w:sz w:val="26"/>
          <w:szCs w:val="26"/>
        </w:rPr>
        <w:t xml:space="preserve">г. </w:t>
      </w:r>
      <w:r w:rsidRPr="00D64242">
        <w:rPr>
          <w:sz w:val="26"/>
          <w:szCs w:val="26"/>
        </w:rPr>
        <w:t>Пыть-</w:t>
      </w:r>
      <w:r w:rsidRPr="00BC4898">
        <w:rPr>
          <w:sz w:val="26"/>
          <w:szCs w:val="26"/>
        </w:rPr>
        <w:t>Ях                                                                                                       20.06.2018 г.</w:t>
      </w:r>
    </w:p>
    <w:p w:rsidR="0093211F" w:rsidRPr="00BC4898" w:rsidRDefault="0093211F" w:rsidP="000F410C">
      <w:pPr>
        <w:jc w:val="both"/>
        <w:rPr>
          <w:sz w:val="26"/>
          <w:szCs w:val="26"/>
        </w:rPr>
      </w:pPr>
    </w:p>
    <w:p w:rsidR="0093211F" w:rsidRPr="00EB71B0" w:rsidRDefault="0093211F" w:rsidP="004369E5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EB71B0">
        <w:rPr>
          <w:sz w:val="26"/>
          <w:szCs w:val="26"/>
        </w:rPr>
        <w:t xml:space="preserve">Счетно-контрольной палатой города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Pr="004369E5">
        <w:rPr>
          <w:sz w:val="26"/>
          <w:szCs w:val="26"/>
        </w:rPr>
        <w:t>«О внесении изменений в решение Думы города Пыть-Яха от 22.03.2016 № 388 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47)</w:t>
      </w:r>
      <w:r>
        <w:rPr>
          <w:sz w:val="26"/>
          <w:szCs w:val="26"/>
        </w:rPr>
        <w:t xml:space="preserve"> </w:t>
      </w:r>
      <w:r w:rsidRPr="00EB71B0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93211F" w:rsidRPr="00EB71B0" w:rsidRDefault="0093211F" w:rsidP="000F410C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93211F" w:rsidRPr="000F0E06" w:rsidRDefault="0093211F" w:rsidP="00E3213A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0F0E06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93211F" w:rsidRPr="000F0E06" w:rsidRDefault="0093211F" w:rsidP="00E3213A">
      <w:pPr>
        <w:pStyle w:val="ListParagraph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0F0E06">
        <w:rPr>
          <w:sz w:val="26"/>
          <w:szCs w:val="26"/>
        </w:rPr>
        <w:t xml:space="preserve">Федеральный закон от 15.12.2001 № 166-ФЗ «О государственном пенсионном обеспечении в Российской Федерации» (далее -  Федеральный закон от 15.12.2001     № 166-ФЗ); </w:t>
      </w:r>
    </w:p>
    <w:p w:rsidR="0093211F" w:rsidRPr="000F0E06" w:rsidRDefault="0093211F" w:rsidP="00E3213A">
      <w:pPr>
        <w:pStyle w:val="ListParagraph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0F0E06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93211F" w:rsidRPr="000F0E06" w:rsidRDefault="0093211F" w:rsidP="00E3213A">
      <w:pPr>
        <w:pStyle w:val="ConsPlusNormal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hyperlink r:id="rId7" w:history="1">
        <w:r w:rsidRPr="000F0E06">
          <w:rPr>
            <w:sz w:val="26"/>
            <w:szCs w:val="26"/>
          </w:rPr>
          <w:t>Федеральный закон от 02.03.2007 № 25-ФЗ «О муниципальной службе в Российской Федерации»</w:t>
        </w:r>
      </w:hyperlink>
      <w:r w:rsidRPr="000F0E06">
        <w:rPr>
          <w:color w:val="0000FF"/>
          <w:sz w:val="26"/>
          <w:szCs w:val="26"/>
        </w:rPr>
        <w:t xml:space="preserve"> </w:t>
      </w:r>
      <w:r w:rsidRPr="000F0E06">
        <w:rPr>
          <w:sz w:val="26"/>
          <w:szCs w:val="26"/>
        </w:rPr>
        <w:t>(</w:t>
      </w:r>
      <w:r>
        <w:rPr>
          <w:sz w:val="26"/>
          <w:szCs w:val="26"/>
        </w:rPr>
        <w:t xml:space="preserve">далее - </w:t>
      </w:r>
      <w:r w:rsidRPr="000F0E06">
        <w:rPr>
          <w:sz w:val="26"/>
          <w:szCs w:val="26"/>
        </w:rPr>
        <w:t xml:space="preserve">Федеральный закон от 02.03.2007 № 25-ФЗ); </w:t>
      </w:r>
    </w:p>
    <w:p w:rsidR="0093211F" w:rsidRDefault="0093211F" w:rsidP="00E3213A">
      <w:pPr>
        <w:pStyle w:val="ConsPlusNormal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hyperlink r:id="rId8" w:history="1">
        <w:r w:rsidRPr="000F0E06">
          <w:rPr>
            <w:sz w:val="26"/>
            <w:szCs w:val="26"/>
          </w:rPr>
          <w:t>Закон Ханты-Мансийского автономного округа – Югры от 28.12.2007            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</w:t>
        </w:r>
      </w:hyperlink>
      <w:r w:rsidRPr="000F0E06">
        <w:rPr>
          <w:sz w:val="26"/>
          <w:szCs w:val="26"/>
        </w:rPr>
        <w:t xml:space="preserve"> (далее - Закон ХМАО – Югры от 28.12.2007 № 201-оз); </w:t>
      </w:r>
    </w:p>
    <w:p w:rsidR="0093211F" w:rsidRPr="002137D1" w:rsidRDefault="0093211F" w:rsidP="00E3213A">
      <w:pPr>
        <w:pStyle w:val="ConsPlusNormal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E0219D">
        <w:rPr>
          <w:sz w:val="26"/>
          <w:szCs w:val="26"/>
        </w:rPr>
        <w:t>Закон Ханты-</w:t>
      </w:r>
      <w:r w:rsidRPr="002137D1">
        <w:rPr>
          <w:sz w:val="26"/>
          <w:szCs w:val="26"/>
        </w:rPr>
        <w:t xml:space="preserve">Мансийского автономного округа – Югры от 20.07.2007             № 113-оз «Об отдельных вопросах муниципальной службы в Ханты-Мансийском автономном округе – Югре» (далее – Закон от 20.07.2007 № 113-оз); </w:t>
      </w:r>
    </w:p>
    <w:p w:rsidR="0093211F" w:rsidRPr="000F0E06" w:rsidRDefault="0093211F" w:rsidP="00E3213A">
      <w:pPr>
        <w:pStyle w:val="ConsPlusNormal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hyperlink r:id="rId9" w:history="1">
        <w:r w:rsidRPr="002137D1">
          <w:rPr>
            <w:sz w:val="26"/>
            <w:szCs w:val="26"/>
          </w:rPr>
          <w:t xml:space="preserve">Постановление Правительства ХМАО - Югры от 26.03.2004 № 113-п «О Порядке назначения, перерасчета и выплаты пенсии за выслугу лет лицам, замещавшим государственные должности Ханты-Мансийского автономного округа - Югры и должности государственной гражданской службы Ханты-Мансийского автономного округа - Югры, ежемесячного пожизненного денежного содержания лицу, замещавшему должность Губернатора Ханты-Мансийского автономного округа – Югры»  </w:t>
        </w:r>
      </w:hyperlink>
      <w:r w:rsidRPr="002137D1">
        <w:rPr>
          <w:sz w:val="26"/>
          <w:szCs w:val="26"/>
        </w:rPr>
        <w:t>(далее - Постановление Правительства</w:t>
      </w:r>
      <w:r w:rsidRPr="000F0E06">
        <w:rPr>
          <w:sz w:val="26"/>
          <w:szCs w:val="26"/>
        </w:rPr>
        <w:t xml:space="preserve"> ХМАО - Югры от 26.03.2004 </w:t>
      </w:r>
      <w:r>
        <w:rPr>
          <w:sz w:val="26"/>
          <w:szCs w:val="26"/>
        </w:rPr>
        <w:t xml:space="preserve">          </w:t>
      </w:r>
      <w:r w:rsidRPr="000F0E06">
        <w:rPr>
          <w:sz w:val="26"/>
          <w:szCs w:val="26"/>
        </w:rPr>
        <w:t xml:space="preserve">№ 113-п); </w:t>
      </w:r>
    </w:p>
    <w:p w:rsidR="0093211F" w:rsidRPr="007F6393" w:rsidRDefault="0093211F" w:rsidP="00E3213A">
      <w:pPr>
        <w:pStyle w:val="ListParagraph"/>
        <w:numPr>
          <w:ilvl w:val="0"/>
          <w:numId w:val="6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7F6393">
        <w:rPr>
          <w:sz w:val="26"/>
          <w:szCs w:val="26"/>
        </w:rPr>
        <w:t xml:space="preserve">Закон ХМАО - Югры от 09.12.2004 № 76-оз «О гарантиях и компенсациях для лиц, проживающих в Ханты-Мансийском автономном округе - Югре, работающих в государственных органах и государственных учреждениях Ханты-Мансийского автономного округа - Югры, территориальном фонде обязательного медицинского страхования Ханты-Мансийского автономного округа – Югры» (далее - Закон ХМАО - Югры от 09.12.2004 № 76-оз); </w:t>
      </w:r>
    </w:p>
    <w:p w:rsidR="0093211F" w:rsidRPr="000F0E06" w:rsidRDefault="0093211F" w:rsidP="00E3213A">
      <w:pPr>
        <w:pStyle w:val="ListParagraph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Устав города Пыть-Яха.</w:t>
      </w:r>
    </w:p>
    <w:p w:rsidR="0093211F" w:rsidRDefault="0093211F" w:rsidP="000F410C">
      <w:pPr>
        <w:pStyle w:val="ListParagraph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93211F" w:rsidRPr="000F0E06" w:rsidRDefault="0093211F" w:rsidP="0005599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0F0E06">
        <w:rPr>
          <w:sz w:val="26"/>
          <w:szCs w:val="26"/>
        </w:rPr>
        <w:t>анный проект решения поступил</w:t>
      </w:r>
      <w:r w:rsidRPr="007360BA">
        <w:rPr>
          <w:sz w:val="26"/>
          <w:szCs w:val="26"/>
        </w:rPr>
        <w:t xml:space="preserve"> </w:t>
      </w:r>
      <w:r w:rsidRPr="000F0E06">
        <w:rPr>
          <w:sz w:val="26"/>
          <w:szCs w:val="26"/>
        </w:rPr>
        <w:t xml:space="preserve">в Счетно-контрольную палату города </w:t>
      </w:r>
      <w:r>
        <w:rPr>
          <w:sz w:val="26"/>
          <w:szCs w:val="26"/>
        </w:rPr>
        <w:t>Пыть</w:t>
      </w:r>
      <w:r w:rsidRPr="000F0E06">
        <w:rPr>
          <w:sz w:val="26"/>
          <w:szCs w:val="26"/>
        </w:rPr>
        <w:t xml:space="preserve">-Яха </w:t>
      </w:r>
      <w:r>
        <w:rPr>
          <w:sz w:val="26"/>
          <w:szCs w:val="26"/>
        </w:rPr>
        <w:t>14</w:t>
      </w:r>
      <w:r w:rsidRPr="000F0E06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0F0E06">
        <w:rPr>
          <w:sz w:val="26"/>
          <w:szCs w:val="26"/>
        </w:rPr>
        <w:t>.2018, разработчик проекта – Администрация города</w:t>
      </w:r>
      <w:r>
        <w:rPr>
          <w:sz w:val="26"/>
          <w:szCs w:val="26"/>
        </w:rPr>
        <w:t xml:space="preserve"> Пыть-Яха</w:t>
      </w:r>
      <w:r w:rsidRPr="000F0E06">
        <w:rPr>
          <w:sz w:val="26"/>
          <w:szCs w:val="26"/>
        </w:rPr>
        <w:t xml:space="preserve">. С проектом решения представлены пояснительная записка </w:t>
      </w:r>
      <w:r w:rsidRPr="000F0E06">
        <w:rPr>
          <w:bCs/>
          <w:sz w:val="26"/>
          <w:szCs w:val="26"/>
        </w:rPr>
        <w:t>и финансово-экономическое обоснование.</w:t>
      </w:r>
      <w:r w:rsidRPr="000F0E06">
        <w:rPr>
          <w:sz w:val="26"/>
          <w:szCs w:val="26"/>
        </w:rPr>
        <w:t xml:space="preserve"> </w:t>
      </w:r>
    </w:p>
    <w:p w:rsidR="0093211F" w:rsidRDefault="0093211F" w:rsidP="00055999">
      <w:pPr>
        <w:ind w:firstLine="567"/>
        <w:jc w:val="both"/>
        <w:rPr>
          <w:sz w:val="26"/>
          <w:szCs w:val="26"/>
        </w:rPr>
      </w:pPr>
      <w:r w:rsidRPr="000F0E06">
        <w:rPr>
          <w:sz w:val="26"/>
          <w:szCs w:val="26"/>
        </w:rPr>
        <w:t>В ходе подготовки заключения дополнительные документы и материалы не запрашивались, эксперты к проведению экспертизы не привлекались.</w:t>
      </w:r>
    </w:p>
    <w:p w:rsidR="0093211F" w:rsidRDefault="0093211F" w:rsidP="00C46F75">
      <w:pPr>
        <w:ind w:firstLine="567"/>
        <w:jc w:val="both"/>
        <w:rPr>
          <w:sz w:val="26"/>
          <w:szCs w:val="26"/>
        </w:rPr>
      </w:pPr>
      <w:r w:rsidRPr="000F0E06">
        <w:rPr>
          <w:sz w:val="26"/>
          <w:szCs w:val="26"/>
        </w:rPr>
        <w:t xml:space="preserve">В ходе экспертизы установлено следующее: </w:t>
      </w:r>
    </w:p>
    <w:p w:rsidR="0093211F" w:rsidRDefault="0093211F" w:rsidP="00C46F7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Согласно ч.4 ст.7 Закона № 166-ФЗ условия предоставления права на пенсию муниципальным служащим за счет средств местных бюджетов определяются нормативными правовыми актами органов местного самоуправления</w:t>
      </w:r>
    </w:p>
    <w:p w:rsidR="0093211F" w:rsidRDefault="0093211F" w:rsidP="00C46F7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Согласно ч.5.1 ст.40 Закона № 131-ФЗ гарантии осуществления полномочий депутата, члена выборного органа местного самоуправления,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Федерации.</w:t>
      </w:r>
    </w:p>
    <w:p w:rsidR="0093211F" w:rsidRPr="00A56A2A" w:rsidRDefault="0093211F" w:rsidP="00C46F7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Так Уставом города Пыть-Ях установлены гарантии за счет средств местного бюджета главе города и депутатам Думы города, осуществляющим свои полномочия на постоянной основе, в виде дополнительного пенсионного обеспечения за выслугу лет (пп.</w:t>
      </w:r>
      <w:r w:rsidRPr="00234824">
        <w:rPr>
          <w:sz w:val="26"/>
          <w:szCs w:val="26"/>
        </w:rPr>
        <w:t xml:space="preserve"> </w:t>
      </w:r>
      <w:r>
        <w:rPr>
          <w:sz w:val="26"/>
          <w:szCs w:val="26"/>
        </w:rPr>
        <w:t>6 п.1 ст. 24.1 и пп.6 п.1 ст.21.1 Устава г. Пыть-Ях). Порядок и размер предоставления гарантий устанавливаются решениями Думы города.</w:t>
      </w:r>
    </w:p>
    <w:p w:rsidR="0093211F" w:rsidRDefault="0093211F" w:rsidP="00C46F7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Решением Думы города Пыть-Яха от 22.03.2016 № 388 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47) утверждён Порядок назначения, перерасчета и выплаты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городской округ город Пыть-Ях (далее – Порядок), в который представленным проектом решения предлагается внести изменения. </w:t>
      </w:r>
    </w:p>
    <w:p w:rsidR="0093211F" w:rsidRDefault="0093211F" w:rsidP="00C46F7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решения разработан в целях совершенствования нормативной правовой базы органов местного самоуправления муниципального образования городской округ город Пыть-Ях в части дополнительного пенсионного обеспечения лиц, замещавших муниципальные должности или должности муниципальной службы. </w:t>
      </w:r>
    </w:p>
    <w:p w:rsidR="0093211F" w:rsidRPr="000F0E06" w:rsidRDefault="0093211F" w:rsidP="00055999">
      <w:pPr>
        <w:ind w:firstLine="567"/>
        <w:jc w:val="both"/>
        <w:rPr>
          <w:sz w:val="26"/>
          <w:szCs w:val="26"/>
        </w:rPr>
      </w:pPr>
    </w:p>
    <w:p w:rsidR="0093211F" w:rsidRDefault="0093211F" w:rsidP="0005599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Проектом решения вносятся следующие изменения: </w:t>
      </w:r>
    </w:p>
    <w:p w:rsidR="0093211F" w:rsidRPr="00581AFA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1.1.1 подраздела 1.1 раздела 1 проекта решения вносится изменение в       п. 2.4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Порядка, согласно которому предлагается установить стаж для назначения пенсии за выслугу лет для лиц, замещавших должность муниципальной службы и для лиц, замещавшие муниципальные должности. При этом проектом решения установлено, что стаж</w:t>
      </w:r>
      <w:r w:rsidRPr="00581AFA">
        <w:rPr>
          <w:sz w:val="26"/>
          <w:szCs w:val="26"/>
        </w:rPr>
        <w:t>, дающий право на установление пенсии за выслугу лет лицу, замещавшему муниципальную должность, не может быть меньше срока, установленного Уставом города Пыть-Яха для исполнения полномочий по замещаемой муниципальной должности.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1.1.2 подраздела 1.1 раздела 1 проекта решения вносится изменение в       п. 2.5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Порядка, согласно которому предлагается установить предельные размеры расходов, связанных с доставкой пенсии за выслугу лет. 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1.1.3 подраздела 1.1 раздела 1 проекта решения вносится изменение в       п. 2.10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Порядка, согласно которому оговаривается, что последующее замещение лицом, </w:t>
      </w:r>
      <w:r w:rsidRPr="00A705C6">
        <w:rPr>
          <w:sz w:val="26"/>
          <w:szCs w:val="26"/>
        </w:rPr>
        <w:t>в отношении которого принято решение о выплате пенсии за выслугу лет, должностей муниципальной (государственной гражданской) службы или муниципальной (государственной) должности</w:t>
      </w:r>
      <w:r>
        <w:rPr>
          <w:sz w:val="26"/>
          <w:szCs w:val="26"/>
        </w:rPr>
        <w:t xml:space="preserve">, является основанием для перерасчета размеров установленной ранее пенсии за выслугу лет, согласно п. 6.3 и 6.4 Порядка. 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1.1.4 подраздела 1.1 раздела 1 проекта решения вносится изменение в       п. 3.1-3.3 раздела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Порядка, согласно которому указанные пункты Порядка излагаются в новой редакции, указанными пунктами оговаривается минимальный стаж, для</w:t>
      </w:r>
      <w:r w:rsidRPr="003810F5">
        <w:rPr>
          <w:sz w:val="26"/>
          <w:szCs w:val="26"/>
        </w:rPr>
        <w:t xml:space="preserve"> назначения пенсии за выслугу лет </w:t>
      </w:r>
      <w:r>
        <w:rPr>
          <w:sz w:val="26"/>
          <w:szCs w:val="26"/>
        </w:rPr>
        <w:t xml:space="preserve">и порядок увеличения размера пенсии за выслугу лет. Предусмотрена таблица «Размер процентов, исчисленных исходя из фактического стажа муниципальной службы, учитываемых при установлении размеров пенсии за выслугу лет», а также формула для расчета размера пенсии за выслугу лет. 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1.1.5 подраздела 1.1 раздела 1 проекта решения вносится изменение в       п. 5.9 раздела </w:t>
      </w:r>
      <w:r>
        <w:rPr>
          <w:sz w:val="26"/>
          <w:szCs w:val="26"/>
          <w:lang w:val="en-US"/>
        </w:rPr>
        <w:t>V</w:t>
      </w:r>
      <w:r w:rsidRPr="00AA690B">
        <w:rPr>
          <w:sz w:val="26"/>
          <w:szCs w:val="26"/>
        </w:rPr>
        <w:t xml:space="preserve"> </w:t>
      </w:r>
      <w:r>
        <w:rPr>
          <w:sz w:val="26"/>
          <w:szCs w:val="26"/>
        </w:rPr>
        <w:t>Порядка, согласно которому предлагается изменить перечень документов, которое лицо</w:t>
      </w:r>
      <w:r w:rsidRPr="00B84B08">
        <w:rPr>
          <w:sz w:val="26"/>
          <w:szCs w:val="26"/>
        </w:rPr>
        <w:t>, замещавшее муниципальную должность или должность муниципальной службы</w:t>
      </w:r>
      <w:r>
        <w:rPr>
          <w:sz w:val="26"/>
          <w:szCs w:val="26"/>
        </w:rPr>
        <w:t xml:space="preserve"> должен предоставить вместе с заявлением об установлении пенсии за выслугу лет.</w:t>
      </w:r>
    </w:p>
    <w:p w:rsidR="0093211F" w:rsidRPr="00DE2304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1.1.6 подраздела 1.1 раздела 1 проекта решения вносится изменение в       п. 5.10 раздела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Порядка, согласно которому предлагается дополнить полномочия отдела по труду и социальным вопросам.  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1.1.7 подраздела 1.1 раздела 1 проекта решения вносится изменение в       п. 5.12 раздела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Порядка, согласно которому предлагается изменить организацию, которая будет осуществлять выплату пенсии за выслугу лет. 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1.1.8 подраздела 1.1 раздела 1 проекта решения вносится изменение в       п. 6.4 раздела </w:t>
      </w:r>
      <w:r>
        <w:rPr>
          <w:sz w:val="26"/>
          <w:szCs w:val="26"/>
          <w:lang w:val="en-US"/>
        </w:rPr>
        <w:t>VI</w:t>
      </w:r>
      <w:r>
        <w:rPr>
          <w:sz w:val="26"/>
          <w:szCs w:val="26"/>
        </w:rPr>
        <w:t xml:space="preserve"> Порядка, согласно которому предлагается</w:t>
      </w:r>
      <w:r w:rsidRPr="00DE2304">
        <w:rPr>
          <w:sz w:val="26"/>
          <w:szCs w:val="26"/>
        </w:rPr>
        <w:t xml:space="preserve"> перерасчет пенсии за выслугу лет в связи с увеличением стажа осуществлять лишь в том случае, если есть факт замещения лицом, являющимся надлежащим получателем пенсии за выслугу лет из бюджета города Пыть-Яха, муниципальной должности или должности муниципальной в органах местного самоуправления муниципального образования городской округ город Пыть-Ях. При этом для осуществления перерасчета с учетом денежного содержания по последней замещаемой должности заявитель должен отработать не менее 12 месяцев. 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П.1.1.9 подраздела 1.1 раздела 1 проекта решения предлагается Порядок дополнить Приложением № 11 согласно Приложению № 1 к проекту решения.</w:t>
      </w:r>
    </w:p>
    <w:p w:rsidR="0093211F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 1.1.10-1.1.12 подраздела 1.1 раздела 1 проекта решения предлагается Приложения №1,5,6 Порядка изложить в новой редакции. </w:t>
      </w:r>
    </w:p>
    <w:p w:rsidR="0093211F" w:rsidRPr="00DF22B1" w:rsidRDefault="0093211F" w:rsidP="00055999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Подразделом 1.2 раздела 1 проекта решения предлагается актуализировать состав Комиссии </w:t>
      </w:r>
      <w:r w:rsidRPr="00DF22B1">
        <w:rPr>
          <w:sz w:val="26"/>
          <w:szCs w:val="26"/>
        </w:rPr>
        <w:t>по назначению пенсии за выслугу лет лицам, замещавшим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</w:t>
      </w:r>
      <w:r>
        <w:rPr>
          <w:sz w:val="26"/>
          <w:szCs w:val="26"/>
        </w:rPr>
        <w:t>, изложив его</w:t>
      </w:r>
      <w:r w:rsidRPr="000F0E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новой редакции. </w:t>
      </w:r>
    </w:p>
    <w:p w:rsidR="0093211F" w:rsidRDefault="0093211F" w:rsidP="00055999">
      <w:pPr>
        <w:ind w:firstLine="709"/>
        <w:jc w:val="both"/>
        <w:rPr>
          <w:sz w:val="26"/>
          <w:szCs w:val="26"/>
        </w:rPr>
      </w:pPr>
      <w:r w:rsidRPr="007F6393">
        <w:rPr>
          <w:sz w:val="26"/>
          <w:szCs w:val="26"/>
        </w:rPr>
        <w:t>Анализ проекта решения показал, что проект решения разработан на основании действующего законодательства Российской Федерации, Ханты -</w:t>
      </w:r>
      <w:r>
        <w:rPr>
          <w:sz w:val="26"/>
          <w:szCs w:val="26"/>
        </w:rPr>
        <w:t xml:space="preserve"> </w:t>
      </w:r>
      <w:r w:rsidRPr="007F6393">
        <w:rPr>
          <w:sz w:val="26"/>
          <w:szCs w:val="26"/>
        </w:rPr>
        <w:t>Мансийского автономного округа – Югры</w:t>
      </w:r>
      <w:r>
        <w:rPr>
          <w:sz w:val="26"/>
          <w:szCs w:val="26"/>
        </w:rPr>
        <w:t xml:space="preserve">. Разработчиком учтены замечания, отраженные в экспертном заключении Счетно-контрольной палаты от 16.03.2018 № 12/Д. </w:t>
      </w:r>
    </w:p>
    <w:p w:rsidR="0093211F" w:rsidRDefault="0093211F" w:rsidP="00055999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Pr="006C5FB8">
        <w:rPr>
          <w:bCs/>
          <w:color w:val="000000"/>
          <w:sz w:val="26"/>
          <w:szCs w:val="26"/>
        </w:rPr>
        <w:t>К проекту решения имеется следующее предложение:</w:t>
      </w:r>
    </w:p>
    <w:p w:rsidR="0093211F" w:rsidRDefault="0093211F" w:rsidP="00055999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  <w:t xml:space="preserve">1. В таблице «Размер процентов, исчисленных исходя из фактического стажа муниципальной службы, учитываемых при установлении размеров пенсии за выслугу лет» к п. 3.1 предлагаем исключить строки 1,2 ввиду того, что 2016 и 2017 годы возникновения права на пенсию за выслугу лет истекли и утратили свою актуальность. Последующие строки необходимо пронумеровать в сквозном порядке. </w:t>
      </w:r>
    </w:p>
    <w:p w:rsidR="0093211F" w:rsidRPr="006C5FB8" w:rsidRDefault="0093211F" w:rsidP="00055999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  <w:t>2. В</w:t>
      </w:r>
      <w:r w:rsidRPr="006C5FB8">
        <w:rPr>
          <w:bCs/>
          <w:color w:val="000000"/>
          <w:sz w:val="26"/>
          <w:szCs w:val="26"/>
        </w:rPr>
        <w:t>носимые в муниципальный акт изменения должны излагаться последовательно</w:t>
      </w:r>
      <w:r>
        <w:rPr>
          <w:bCs/>
          <w:color w:val="000000"/>
          <w:sz w:val="26"/>
          <w:szCs w:val="26"/>
        </w:rPr>
        <w:t xml:space="preserve">. Таким образом, сначала предлагаем оформить в проекте решения пункты, которые излагают в новой редакции Приложения № 1,5,6, а затем только оформить пункт дополняющим Приложением № 11, согласно Приложению № 1 к решению. </w:t>
      </w:r>
    </w:p>
    <w:p w:rsidR="0093211F" w:rsidRPr="000F0E06" w:rsidRDefault="0093211F" w:rsidP="00055999">
      <w:pPr>
        <w:jc w:val="center"/>
        <w:rPr>
          <w:bCs/>
          <w:color w:val="000000"/>
          <w:sz w:val="26"/>
          <w:szCs w:val="26"/>
        </w:rPr>
      </w:pPr>
    </w:p>
    <w:p w:rsidR="0093211F" w:rsidRPr="00C46F75" w:rsidRDefault="0093211F" w:rsidP="00C46F75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ab/>
      </w:r>
      <w:r w:rsidRPr="00C46F75">
        <w:rPr>
          <w:bCs/>
          <w:color w:val="000000"/>
          <w:sz w:val="26"/>
          <w:szCs w:val="26"/>
        </w:rPr>
        <w:t xml:space="preserve">На основании вышеизложенного Счётно-контрольная палата рекомендует Думе города рассмотреть проект решения Думы города Пыть-Яха </w:t>
      </w:r>
      <w:r w:rsidRPr="001040B8">
        <w:rPr>
          <w:bCs/>
          <w:color w:val="000000"/>
          <w:sz w:val="26"/>
          <w:szCs w:val="26"/>
        </w:rPr>
        <w:t xml:space="preserve">«О внесении изменений в решение Думы города Пыть-Яха от 22.03.2016 № 388 «О пенсионном обеспечении лиц, замещавших муниципальные должности или должности муниципальной службы в </w:t>
      </w:r>
      <w:r w:rsidRPr="006C5FB8">
        <w:rPr>
          <w:bCs/>
          <w:color w:val="000000"/>
          <w:sz w:val="26"/>
          <w:szCs w:val="26"/>
        </w:rPr>
        <w:t>орган</w:t>
      </w:r>
      <w:bookmarkStart w:id="0" w:name="_GoBack"/>
      <w:bookmarkEnd w:id="0"/>
      <w:r w:rsidRPr="006C5FB8">
        <w:rPr>
          <w:bCs/>
          <w:color w:val="000000"/>
          <w:sz w:val="26"/>
          <w:szCs w:val="26"/>
        </w:rPr>
        <w:t>ах местного самоуправления муниципального образования городской округ город Пыть-Ях» (в ред. от 16.12.2016 № 47) с учетом предложени</w:t>
      </w:r>
      <w:r>
        <w:rPr>
          <w:bCs/>
          <w:color w:val="000000"/>
          <w:sz w:val="26"/>
          <w:szCs w:val="26"/>
        </w:rPr>
        <w:t>й</w:t>
      </w:r>
      <w:r w:rsidRPr="006C5FB8">
        <w:rPr>
          <w:bCs/>
          <w:color w:val="000000"/>
          <w:sz w:val="26"/>
          <w:szCs w:val="26"/>
        </w:rPr>
        <w:t>.</w:t>
      </w:r>
      <w:r w:rsidRPr="00C46F75">
        <w:rPr>
          <w:bCs/>
          <w:color w:val="000000"/>
          <w:sz w:val="26"/>
          <w:szCs w:val="26"/>
        </w:rPr>
        <w:t xml:space="preserve"> </w:t>
      </w:r>
    </w:p>
    <w:p w:rsidR="0093211F" w:rsidRDefault="0093211F" w:rsidP="00055999">
      <w:pPr>
        <w:jc w:val="both"/>
        <w:rPr>
          <w:bCs/>
          <w:color w:val="000000"/>
          <w:sz w:val="26"/>
          <w:szCs w:val="26"/>
        </w:rPr>
      </w:pPr>
    </w:p>
    <w:p w:rsidR="0093211F" w:rsidRDefault="0093211F" w:rsidP="000F410C">
      <w:pPr>
        <w:pStyle w:val="ListParagraph"/>
        <w:tabs>
          <w:tab w:val="left" w:pos="851"/>
        </w:tabs>
        <w:ind w:left="0"/>
        <w:jc w:val="both"/>
        <w:rPr>
          <w:sz w:val="26"/>
          <w:szCs w:val="26"/>
        </w:rPr>
      </w:pPr>
    </w:p>
    <w:p w:rsidR="0093211F" w:rsidRPr="00EB71B0" w:rsidRDefault="0093211F" w:rsidP="000F410C">
      <w:pPr>
        <w:pStyle w:val="ListParagraph"/>
        <w:tabs>
          <w:tab w:val="left" w:pos="851"/>
        </w:tabs>
        <w:ind w:left="0"/>
        <w:jc w:val="both"/>
        <w:rPr>
          <w:sz w:val="26"/>
          <w:szCs w:val="26"/>
        </w:rPr>
      </w:pPr>
    </w:p>
    <w:p w:rsidR="0093211F" w:rsidRPr="00EB71B0" w:rsidRDefault="0093211F" w:rsidP="000F410C">
      <w:pPr>
        <w:pStyle w:val="ListParagraph"/>
        <w:tabs>
          <w:tab w:val="left" w:pos="851"/>
        </w:tabs>
        <w:ind w:left="0"/>
        <w:jc w:val="both"/>
        <w:rPr>
          <w:sz w:val="26"/>
          <w:szCs w:val="26"/>
        </w:rPr>
      </w:pPr>
      <w:r w:rsidRPr="00EB71B0">
        <w:rPr>
          <w:sz w:val="26"/>
          <w:szCs w:val="26"/>
        </w:rPr>
        <w:t xml:space="preserve">Инспектор </w:t>
      </w:r>
    </w:p>
    <w:p w:rsidR="0093211F" w:rsidRPr="00EB71B0" w:rsidRDefault="0093211F" w:rsidP="000F410C">
      <w:pPr>
        <w:tabs>
          <w:tab w:val="left" w:pos="567"/>
        </w:tabs>
        <w:jc w:val="both"/>
        <w:rPr>
          <w:sz w:val="26"/>
          <w:szCs w:val="26"/>
        </w:rPr>
      </w:pPr>
      <w:r w:rsidRPr="00EB71B0">
        <w:rPr>
          <w:sz w:val="26"/>
          <w:szCs w:val="26"/>
        </w:rPr>
        <w:t>Счетно-контрольной палаты</w:t>
      </w:r>
    </w:p>
    <w:p w:rsidR="0093211F" w:rsidRPr="00EB71B0" w:rsidRDefault="0093211F" w:rsidP="000F410C">
      <w:pPr>
        <w:tabs>
          <w:tab w:val="left" w:pos="567"/>
        </w:tabs>
        <w:jc w:val="both"/>
        <w:rPr>
          <w:sz w:val="26"/>
          <w:szCs w:val="26"/>
        </w:rPr>
      </w:pPr>
      <w:r w:rsidRPr="00EB71B0">
        <w:rPr>
          <w:sz w:val="26"/>
          <w:szCs w:val="26"/>
        </w:rPr>
        <w:t>города Пыть-Яха                                                                                        Г.Ф. Урубкова</w:t>
      </w:r>
    </w:p>
    <w:p w:rsidR="0093211F" w:rsidRPr="00EB71B0" w:rsidRDefault="0093211F" w:rsidP="000F410C">
      <w:pPr>
        <w:jc w:val="both"/>
        <w:rPr>
          <w:sz w:val="26"/>
          <w:szCs w:val="26"/>
        </w:rPr>
      </w:pPr>
    </w:p>
    <w:p w:rsidR="0093211F" w:rsidRPr="00EB71B0" w:rsidRDefault="0093211F" w:rsidP="000F410C">
      <w:pPr>
        <w:rPr>
          <w:sz w:val="26"/>
          <w:szCs w:val="26"/>
        </w:rPr>
      </w:pPr>
    </w:p>
    <w:sectPr w:rsidR="0093211F" w:rsidRPr="00EB71B0" w:rsidSect="007A1E6C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11F" w:rsidRDefault="0093211F" w:rsidP="00AD71F1">
      <w:r>
        <w:separator/>
      </w:r>
    </w:p>
  </w:endnote>
  <w:endnote w:type="continuationSeparator" w:id="0">
    <w:p w:rsidR="0093211F" w:rsidRDefault="0093211F" w:rsidP="00AD7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11F" w:rsidRDefault="0093211F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93211F" w:rsidRDefault="009321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11F" w:rsidRDefault="0093211F" w:rsidP="00AD71F1">
      <w:r>
        <w:separator/>
      </w:r>
    </w:p>
  </w:footnote>
  <w:footnote w:type="continuationSeparator" w:id="0">
    <w:p w:rsidR="0093211F" w:rsidRDefault="0093211F" w:rsidP="00AD7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74B76C9"/>
    <w:multiLevelType w:val="hybridMultilevel"/>
    <w:tmpl w:val="77C2E452"/>
    <w:lvl w:ilvl="0" w:tplc="343C458A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342E0F"/>
    <w:multiLevelType w:val="hybridMultilevel"/>
    <w:tmpl w:val="D0144332"/>
    <w:lvl w:ilvl="0" w:tplc="2B20DF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E103AAE"/>
    <w:multiLevelType w:val="hybridMultilevel"/>
    <w:tmpl w:val="9C2CDE88"/>
    <w:lvl w:ilvl="0" w:tplc="C89A5C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4EB33BD"/>
    <w:multiLevelType w:val="multilevel"/>
    <w:tmpl w:val="860E579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5">
    <w:nsid w:val="1F651EBF"/>
    <w:multiLevelType w:val="hybridMultilevel"/>
    <w:tmpl w:val="23249DEA"/>
    <w:lvl w:ilvl="0" w:tplc="EE34E1C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C660031"/>
    <w:multiLevelType w:val="multilevel"/>
    <w:tmpl w:val="0D64FB9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7">
    <w:nsid w:val="2E012275"/>
    <w:multiLevelType w:val="hybridMultilevel"/>
    <w:tmpl w:val="ED1015D2"/>
    <w:lvl w:ilvl="0" w:tplc="2980633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38ED11FF"/>
    <w:multiLevelType w:val="multilevel"/>
    <w:tmpl w:val="FE5A8E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680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DEE6703"/>
    <w:multiLevelType w:val="hybridMultilevel"/>
    <w:tmpl w:val="0308CB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E931B9"/>
    <w:multiLevelType w:val="hybridMultilevel"/>
    <w:tmpl w:val="7E144DCE"/>
    <w:lvl w:ilvl="0" w:tplc="2AB6060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65CA43BE"/>
    <w:multiLevelType w:val="multilevel"/>
    <w:tmpl w:val="3EFA79D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cs="Times New Roman" w:hint="default"/>
      </w:rPr>
    </w:lvl>
  </w:abstractNum>
  <w:abstractNum w:abstractNumId="12">
    <w:nsid w:val="78F5129B"/>
    <w:multiLevelType w:val="hybridMultilevel"/>
    <w:tmpl w:val="C0DC6ED4"/>
    <w:lvl w:ilvl="0" w:tplc="FFBA13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79B90A68"/>
    <w:multiLevelType w:val="hybridMultilevel"/>
    <w:tmpl w:val="6DA61670"/>
    <w:lvl w:ilvl="0" w:tplc="D94839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E1F4A97"/>
    <w:multiLevelType w:val="hybridMultilevel"/>
    <w:tmpl w:val="AE684B6A"/>
    <w:lvl w:ilvl="0" w:tplc="C8D2D33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7"/>
  </w:num>
  <w:num w:numId="5">
    <w:abstractNumId w:val="11"/>
  </w:num>
  <w:num w:numId="6">
    <w:abstractNumId w:val="0"/>
  </w:num>
  <w:num w:numId="7">
    <w:abstractNumId w:val="12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3"/>
  </w:num>
  <w:num w:numId="13">
    <w:abstractNumId w:val="6"/>
  </w:num>
  <w:num w:numId="14">
    <w:abstractNumId w:val="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A84"/>
    <w:rsid w:val="000021F0"/>
    <w:rsid w:val="00004381"/>
    <w:rsid w:val="000229DD"/>
    <w:rsid w:val="00023350"/>
    <w:rsid w:val="00034168"/>
    <w:rsid w:val="00055999"/>
    <w:rsid w:val="00061BE0"/>
    <w:rsid w:val="00066522"/>
    <w:rsid w:val="000737DA"/>
    <w:rsid w:val="00073E16"/>
    <w:rsid w:val="00081534"/>
    <w:rsid w:val="00084037"/>
    <w:rsid w:val="000976A0"/>
    <w:rsid w:val="000A7912"/>
    <w:rsid w:val="000C0662"/>
    <w:rsid w:val="000C1309"/>
    <w:rsid w:val="000C1A0A"/>
    <w:rsid w:val="000C32C7"/>
    <w:rsid w:val="000C3944"/>
    <w:rsid w:val="000C43D5"/>
    <w:rsid w:val="000C4C19"/>
    <w:rsid w:val="000C5159"/>
    <w:rsid w:val="000D3552"/>
    <w:rsid w:val="000E322A"/>
    <w:rsid w:val="000F0E06"/>
    <w:rsid w:val="000F410C"/>
    <w:rsid w:val="000F5F92"/>
    <w:rsid w:val="00102F13"/>
    <w:rsid w:val="00103AC4"/>
    <w:rsid w:val="001040B8"/>
    <w:rsid w:val="001133E6"/>
    <w:rsid w:val="00114579"/>
    <w:rsid w:val="00122641"/>
    <w:rsid w:val="0012690A"/>
    <w:rsid w:val="00130A8D"/>
    <w:rsid w:val="00140110"/>
    <w:rsid w:val="001504CD"/>
    <w:rsid w:val="0015437B"/>
    <w:rsid w:val="00154E75"/>
    <w:rsid w:val="001560EB"/>
    <w:rsid w:val="0016009F"/>
    <w:rsid w:val="00165F64"/>
    <w:rsid w:val="0016643F"/>
    <w:rsid w:val="001705A9"/>
    <w:rsid w:val="00171D76"/>
    <w:rsid w:val="00174B96"/>
    <w:rsid w:val="00183728"/>
    <w:rsid w:val="00185B86"/>
    <w:rsid w:val="001A1CC3"/>
    <w:rsid w:val="001A5646"/>
    <w:rsid w:val="001C3720"/>
    <w:rsid w:val="001D0ACA"/>
    <w:rsid w:val="001D57A3"/>
    <w:rsid w:val="00202E8D"/>
    <w:rsid w:val="00210D7F"/>
    <w:rsid w:val="002126EE"/>
    <w:rsid w:val="002137D1"/>
    <w:rsid w:val="00220663"/>
    <w:rsid w:val="00221F04"/>
    <w:rsid w:val="00222924"/>
    <w:rsid w:val="00234824"/>
    <w:rsid w:val="00241C8D"/>
    <w:rsid w:val="00247C2E"/>
    <w:rsid w:val="00255AF9"/>
    <w:rsid w:val="00260FED"/>
    <w:rsid w:val="00261A17"/>
    <w:rsid w:val="00277726"/>
    <w:rsid w:val="00294FD9"/>
    <w:rsid w:val="002B2DB4"/>
    <w:rsid w:val="002C3D68"/>
    <w:rsid w:val="002C5083"/>
    <w:rsid w:val="002D17B6"/>
    <w:rsid w:val="002D3A5D"/>
    <w:rsid w:val="002E1438"/>
    <w:rsid w:val="002E697F"/>
    <w:rsid w:val="002F6048"/>
    <w:rsid w:val="003138B4"/>
    <w:rsid w:val="00330331"/>
    <w:rsid w:val="0033044C"/>
    <w:rsid w:val="00330CDF"/>
    <w:rsid w:val="00333CFB"/>
    <w:rsid w:val="00336663"/>
    <w:rsid w:val="00361A8A"/>
    <w:rsid w:val="00364C92"/>
    <w:rsid w:val="003806D7"/>
    <w:rsid w:val="00380E73"/>
    <w:rsid w:val="003810F5"/>
    <w:rsid w:val="003814B4"/>
    <w:rsid w:val="003816A5"/>
    <w:rsid w:val="0038292F"/>
    <w:rsid w:val="003829F3"/>
    <w:rsid w:val="00384C30"/>
    <w:rsid w:val="00391E12"/>
    <w:rsid w:val="003946D1"/>
    <w:rsid w:val="00396950"/>
    <w:rsid w:val="003A0310"/>
    <w:rsid w:val="003A26A1"/>
    <w:rsid w:val="003B60D6"/>
    <w:rsid w:val="003C0147"/>
    <w:rsid w:val="003C0237"/>
    <w:rsid w:val="003C33F2"/>
    <w:rsid w:val="003C428B"/>
    <w:rsid w:val="003D1CBD"/>
    <w:rsid w:val="003D4319"/>
    <w:rsid w:val="003F776C"/>
    <w:rsid w:val="003F7F40"/>
    <w:rsid w:val="00404284"/>
    <w:rsid w:val="004122D8"/>
    <w:rsid w:val="00424CA9"/>
    <w:rsid w:val="00433459"/>
    <w:rsid w:val="004362FE"/>
    <w:rsid w:val="004369E5"/>
    <w:rsid w:val="0044095F"/>
    <w:rsid w:val="00450159"/>
    <w:rsid w:val="00463DF7"/>
    <w:rsid w:val="00464B50"/>
    <w:rsid w:val="00470168"/>
    <w:rsid w:val="00490B8C"/>
    <w:rsid w:val="004A1F8E"/>
    <w:rsid w:val="004B0F5B"/>
    <w:rsid w:val="004B5235"/>
    <w:rsid w:val="004B5738"/>
    <w:rsid w:val="004C15C8"/>
    <w:rsid w:val="004C20B2"/>
    <w:rsid w:val="004C23AA"/>
    <w:rsid w:val="004D0EE2"/>
    <w:rsid w:val="004E01C1"/>
    <w:rsid w:val="004F21C7"/>
    <w:rsid w:val="005030D3"/>
    <w:rsid w:val="00503CED"/>
    <w:rsid w:val="00513041"/>
    <w:rsid w:val="00520D92"/>
    <w:rsid w:val="00537ED8"/>
    <w:rsid w:val="00550215"/>
    <w:rsid w:val="00551B80"/>
    <w:rsid w:val="00564D74"/>
    <w:rsid w:val="0056760A"/>
    <w:rsid w:val="005739DD"/>
    <w:rsid w:val="00581AFA"/>
    <w:rsid w:val="00586B6B"/>
    <w:rsid w:val="00594D4A"/>
    <w:rsid w:val="005A0C4F"/>
    <w:rsid w:val="005A2B71"/>
    <w:rsid w:val="005A4BAE"/>
    <w:rsid w:val="005A50F2"/>
    <w:rsid w:val="005B3A2E"/>
    <w:rsid w:val="005C2DF9"/>
    <w:rsid w:val="005D01DB"/>
    <w:rsid w:val="005D2CC4"/>
    <w:rsid w:val="005D2E9B"/>
    <w:rsid w:val="005D6C60"/>
    <w:rsid w:val="005E417B"/>
    <w:rsid w:val="005E691B"/>
    <w:rsid w:val="005F302E"/>
    <w:rsid w:val="00610D52"/>
    <w:rsid w:val="006150D6"/>
    <w:rsid w:val="00620D1D"/>
    <w:rsid w:val="006236AE"/>
    <w:rsid w:val="00626775"/>
    <w:rsid w:val="00631CB4"/>
    <w:rsid w:val="00643B8E"/>
    <w:rsid w:val="00647184"/>
    <w:rsid w:val="0065325F"/>
    <w:rsid w:val="006538E3"/>
    <w:rsid w:val="00655321"/>
    <w:rsid w:val="00666B74"/>
    <w:rsid w:val="006737D5"/>
    <w:rsid w:val="00690833"/>
    <w:rsid w:val="006A4DA9"/>
    <w:rsid w:val="006A5ACC"/>
    <w:rsid w:val="006B3597"/>
    <w:rsid w:val="006B4BB9"/>
    <w:rsid w:val="006C2B8F"/>
    <w:rsid w:val="006C346E"/>
    <w:rsid w:val="006C5FB8"/>
    <w:rsid w:val="006C76EE"/>
    <w:rsid w:val="006D1183"/>
    <w:rsid w:val="006D7841"/>
    <w:rsid w:val="006E3672"/>
    <w:rsid w:val="006E5707"/>
    <w:rsid w:val="006E705C"/>
    <w:rsid w:val="006F34F3"/>
    <w:rsid w:val="006F7BFD"/>
    <w:rsid w:val="00700809"/>
    <w:rsid w:val="00700E58"/>
    <w:rsid w:val="00707B1A"/>
    <w:rsid w:val="0071038A"/>
    <w:rsid w:val="007130B0"/>
    <w:rsid w:val="007346B8"/>
    <w:rsid w:val="007360BA"/>
    <w:rsid w:val="00737C50"/>
    <w:rsid w:val="00741E5C"/>
    <w:rsid w:val="00746344"/>
    <w:rsid w:val="00747D86"/>
    <w:rsid w:val="00753962"/>
    <w:rsid w:val="007574F5"/>
    <w:rsid w:val="00764282"/>
    <w:rsid w:val="00786DF3"/>
    <w:rsid w:val="0079123A"/>
    <w:rsid w:val="00794674"/>
    <w:rsid w:val="007A1E6C"/>
    <w:rsid w:val="007A446C"/>
    <w:rsid w:val="007A54F9"/>
    <w:rsid w:val="007A7894"/>
    <w:rsid w:val="007B308B"/>
    <w:rsid w:val="007C1591"/>
    <w:rsid w:val="007C3296"/>
    <w:rsid w:val="007C6163"/>
    <w:rsid w:val="007D669C"/>
    <w:rsid w:val="007D6F74"/>
    <w:rsid w:val="007F4791"/>
    <w:rsid w:val="007F4A81"/>
    <w:rsid w:val="007F6393"/>
    <w:rsid w:val="008055DA"/>
    <w:rsid w:val="0080713F"/>
    <w:rsid w:val="00812F13"/>
    <w:rsid w:val="008176C5"/>
    <w:rsid w:val="00830892"/>
    <w:rsid w:val="008325C5"/>
    <w:rsid w:val="00843460"/>
    <w:rsid w:val="00843562"/>
    <w:rsid w:val="0085761F"/>
    <w:rsid w:val="00857CE4"/>
    <w:rsid w:val="00857FCB"/>
    <w:rsid w:val="00862CEC"/>
    <w:rsid w:val="0086774F"/>
    <w:rsid w:val="00876A0C"/>
    <w:rsid w:val="0087722E"/>
    <w:rsid w:val="008818BC"/>
    <w:rsid w:val="00883521"/>
    <w:rsid w:val="00894BE7"/>
    <w:rsid w:val="00895E94"/>
    <w:rsid w:val="008A2F14"/>
    <w:rsid w:val="008A5401"/>
    <w:rsid w:val="008A562A"/>
    <w:rsid w:val="008A5852"/>
    <w:rsid w:val="008A5DB5"/>
    <w:rsid w:val="008C0751"/>
    <w:rsid w:val="008C3391"/>
    <w:rsid w:val="008C57FB"/>
    <w:rsid w:val="008E0EF6"/>
    <w:rsid w:val="008E6279"/>
    <w:rsid w:val="008E6EB0"/>
    <w:rsid w:val="008F1B5E"/>
    <w:rsid w:val="008F7DEB"/>
    <w:rsid w:val="00904B0F"/>
    <w:rsid w:val="00907585"/>
    <w:rsid w:val="00907844"/>
    <w:rsid w:val="00912415"/>
    <w:rsid w:val="009139B5"/>
    <w:rsid w:val="00914BCC"/>
    <w:rsid w:val="009318B4"/>
    <w:rsid w:val="0093211F"/>
    <w:rsid w:val="00936870"/>
    <w:rsid w:val="00940451"/>
    <w:rsid w:val="009427CE"/>
    <w:rsid w:val="0094633D"/>
    <w:rsid w:val="00950312"/>
    <w:rsid w:val="00950C36"/>
    <w:rsid w:val="0095181C"/>
    <w:rsid w:val="00961981"/>
    <w:rsid w:val="00967C60"/>
    <w:rsid w:val="00972BDC"/>
    <w:rsid w:val="00984D9D"/>
    <w:rsid w:val="00985417"/>
    <w:rsid w:val="009967D0"/>
    <w:rsid w:val="009A1995"/>
    <w:rsid w:val="009A3F91"/>
    <w:rsid w:val="009C10E0"/>
    <w:rsid w:val="009C31F9"/>
    <w:rsid w:val="009C5DEF"/>
    <w:rsid w:val="009D54D0"/>
    <w:rsid w:val="00A072A1"/>
    <w:rsid w:val="00A13421"/>
    <w:rsid w:val="00A245D3"/>
    <w:rsid w:val="00A33335"/>
    <w:rsid w:val="00A42CB4"/>
    <w:rsid w:val="00A530C5"/>
    <w:rsid w:val="00A56A2A"/>
    <w:rsid w:val="00A61E25"/>
    <w:rsid w:val="00A705C6"/>
    <w:rsid w:val="00A86F33"/>
    <w:rsid w:val="00A90713"/>
    <w:rsid w:val="00A90C4D"/>
    <w:rsid w:val="00A91811"/>
    <w:rsid w:val="00AA23FB"/>
    <w:rsid w:val="00AA5CCA"/>
    <w:rsid w:val="00AA6152"/>
    <w:rsid w:val="00AA690B"/>
    <w:rsid w:val="00AA6CD8"/>
    <w:rsid w:val="00AC0BD3"/>
    <w:rsid w:val="00AD71F1"/>
    <w:rsid w:val="00AE5F47"/>
    <w:rsid w:val="00AF4018"/>
    <w:rsid w:val="00AF69A8"/>
    <w:rsid w:val="00B06D75"/>
    <w:rsid w:val="00B11DC0"/>
    <w:rsid w:val="00B42575"/>
    <w:rsid w:val="00B44444"/>
    <w:rsid w:val="00B45A55"/>
    <w:rsid w:val="00B543E6"/>
    <w:rsid w:val="00B56693"/>
    <w:rsid w:val="00B615C0"/>
    <w:rsid w:val="00B84B08"/>
    <w:rsid w:val="00B86C4E"/>
    <w:rsid w:val="00B93338"/>
    <w:rsid w:val="00BB2C9D"/>
    <w:rsid w:val="00BC3BF9"/>
    <w:rsid w:val="00BC4898"/>
    <w:rsid w:val="00BC4CC7"/>
    <w:rsid w:val="00BC4E3F"/>
    <w:rsid w:val="00BD33A3"/>
    <w:rsid w:val="00BD4F25"/>
    <w:rsid w:val="00BE34C7"/>
    <w:rsid w:val="00BE5974"/>
    <w:rsid w:val="00BF6ED4"/>
    <w:rsid w:val="00BF7741"/>
    <w:rsid w:val="00C0256F"/>
    <w:rsid w:val="00C02972"/>
    <w:rsid w:val="00C111F8"/>
    <w:rsid w:val="00C15DE3"/>
    <w:rsid w:val="00C2054D"/>
    <w:rsid w:val="00C21864"/>
    <w:rsid w:val="00C27146"/>
    <w:rsid w:val="00C35F06"/>
    <w:rsid w:val="00C46F75"/>
    <w:rsid w:val="00C47448"/>
    <w:rsid w:val="00C53715"/>
    <w:rsid w:val="00C56027"/>
    <w:rsid w:val="00C60B84"/>
    <w:rsid w:val="00C62009"/>
    <w:rsid w:val="00C661C5"/>
    <w:rsid w:val="00C73F9C"/>
    <w:rsid w:val="00C872EF"/>
    <w:rsid w:val="00C94359"/>
    <w:rsid w:val="00CA164A"/>
    <w:rsid w:val="00CA480E"/>
    <w:rsid w:val="00CA73B1"/>
    <w:rsid w:val="00CC5BD9"/>
    <w:rsid w:val="00CD34B6"/>
    <w:rsid w:val="00CD4F4F"/>
    <w:rsid w:val="00CD59F9"/>
    <w:rsid w:val="00CF06C7"/>
    <w:rsid w:val="00CF1926"/>
    <w:rsid w:val="00D04408"/>
    <w:rsid w:val="00D212CC"/>
    <w:rsid w:val="00D2582A"/>
    <w:rsid w:val="00D302DF"/>
    <w:rsid w:val="00D31F7F"/>
    <w:rsid w:val="00D32E62"/>
    <w:rsid w:val="00D332A4"/>
    <w:rsid w:val="00D34805"/>
    <w:rsid w:val="00D34FF4"/>
    <w:rsid w:val="00D37EEF"/>
    <w:rsid w:val="00D40ABF"/>
    <w:rsid w:val="00D51793"/>
    <w:rsid w:val="00D57599"/>
    <w:rsid w:val="00D64242"/>
    <w:rsid w:val="00D6592B"/>
    <w:rsid w:val="00D673CB"/>
    <w:rsid w:val="00D7491C"/>
    <w:rsid w:val="00D76E53"/>
    <w:rsid w:val="00D80006"/>
    <w:rsid w:val="00D824EE"/>
    <w:rsid w:val="00D838B0"/>
    <w:rsid w:val="00D9143D"/>
    <w:rsid w:val="00D97DEA"/>
    <w:rsid w:val="00D97F85"/>
    <w:rsid w:val="00DA482C"/>
    <w:rsid w:val="00DB4413"/>
    <w:rsid w:val="00DC3632"/>
    <w:rsid w:val="00DC4115"/>
    <w:rsid w:val="00DC4E6D"/>
    <w:rsid w:val="00DD0E02"/>
    <w:rsid w:val="00DD23D6"/>
    <w:rsid w:val="00DD7600"/>
    <w:rsid w:val="00DD7EB9"/>
    <w:rsid w:val="00DE00CF"/>
    <w:rsid w:val="00DE2304"/>
    <w:rsid w:val="00DE3695"/>
    <w:rsid w:val="00DF2140"/>
    <w:rsid w:val="00DF22B1"/>
    <w:rsid w:val="00DF6761"/>
    <w:rsid w:val="00DF698C"/>
    <w:rsid w:val="00E0219D"/>
    <w:rsid w:val="00E04A5D"/>
    <w:rsid w:val="00E104F0"/>
    <w:rsid w:val="00E11739"/>
    <w:rsid w:val="00E205BE"/>
    <w:rsid w:val="00E22A84"/>
    <w:rsid w:val="00E231B7"/>
    <w:rsid w:val="00E2634F"/>
    <w:rsid w:val="00E30BF8"/>
    <w:rsid w:val="00E3213A"/>
    <w:rsid w:val="00E356CC"/>
    <w:rsid w:val="00E5084C"/>
    <w:rsid w:val="00E576FE"/>
    <w:rsid w:val="00E65513"/>
    <w:rsid w:val="00E65A91"/>
    <w:rsid w:val="00E73B06"/>
    <w:rsid w:val="00E73C16"/>
    <w:rsid w:val="00E86671"/>
    <w:rsid w:val="00EA226F"/>
    <w:rsid w:val="00EB20B9"/>
    <w:rsid w:val="00EB3F25"/>
    <w:rsid w:val="00EB47CC"/>
    <w:rsid w:val="00EB71B0"/>
    <w:rsid w:val="00EC0BBC"/>
    <w:rsid w:val="00EC0C18"/>
    <w:rsid w:val="00EC2463"/>
    <w:rsid w:val="00EC61E0"/>
    <w:rsid w:val="00ED71E2"/>
    <w:rsid w:val="00EE4682"/>
    <w:rsid w:val="00F17930"/>
    <w:rsid w:val="00F17A8C"/>
    <w:rsid w:val="00F262A9"/>
    <w:rsid w:val="00F447CF"/>
    <w:rsid w:val="00F527C8"/>
    <w:rsid w:val="00F529CB"/>
    <w:rsid w:val="00F56BD0"/>
    <w:rsid w:val="00F633F4"/>
    <w:rsid w:val="00F75302"/>
    <w:rsid w:val="00F811B0"/>
    <w:rsid w:val="00F94B15"/>
    <w:rsid w:val="00FA4590"/>
    <w:rsid w:val="00FA758E"/>
    <w:rsid w:val="00FB0F1F"/>
    <w:rsid w:val="00FB3860"/>
    <w:rsid w:val="00FB3D2C"/>
    <w:rsid w:val="00FB688A"/>
    <w:rsid w:val="00FC0936"/>
    <w:rsid w:val="00FC3B90"/>
    <w:rsid w:val="00FD30EA"/>
    <w:rsid w:val="00FD4938"/>
    <w:rsid w:val="00FE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F410C"/>
    <w:rPr>
      <w:sz w:val="24"/>
      <w:szCs w:val="24"/>
    </w:rPr>
  </w:style>
  <w:style w:type="paragraph" w:styleId="Heading1">
    <w:name w:val="heading 1"/>
    <w:aliases w:val="Знак Знак Знак Знак"/>
    <w:basedOn w:val="Normal"/>
    <w:next w:val="Normal"/>
    <w:link w:val="Heading1Char"/>
    <w:uiPriority w:val="99"/>
    <w:qFormat/>
    <w:rsid w:val="00D40ABF"/>
    <w:pPr>
      <w:keepNext/>
      <w:outlineLvl w:val="0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Знак Знак Знак Char"/>
    <w:basedOn w:val="DefaultParagraphFont"/>
    <w:link w:val="Heading1"/>
    <w:uiPriority w:val="99"/>
    <w:locked/>
    <w:rsid w:val="00D40ABF"/>
    <w:rPr>
      <w:rFonts w:cs="Times New Roman"/>
      <w:b/>
      <w:sz w:val="24"/>
      <w:szCs w:val="24"/>
    </w:rPr>
  </w:style>
  <w:style w:type="paragraph" w:styleId="ListParagraph">
    <w:name w:val="List Paragraph"/>
    <w:basedOn w:val="Normal"/>
    <w:uiPriority w:val="99"/>
    <w:qFormat/>
    <w:rsid w:val="00D40ABF"/>
    <w:pPr>
      <w:ind w:left="720"/>
      <w:contextualSpacing/>
    </w:pPr>
  </w:style>
  <w:style w:type="table" w:styleId="TableGrid">
    <w:name w:val="Table Grid"/>
    <w:basedOn w:val="TableNormal"/>
    <w:uiPriority w:val="99"/>
    <w:rsid w:val="000C39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D71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D71F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1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71F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C50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C508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D7491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537E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37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91241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912415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91241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3213A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93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45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A3A54A2A37D81D48BB018A01D6D85FC99F797A35385A4DD0733FEF61C4553214F9715403D625CFC3D74E14x5v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6714AB38719E8CBE72E813EE34969AEA501BB0A67C7E465587A47A6B6054CD901626E30A3957F1NAu4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2571C2067DBC9E755E4C95651A7290C65240113FBF58A12DF083C79E201846A5475C0197709EBEAFD1AA38D1s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3509</TotalTime>
  <Pages>4</Pages>
  <Words>1687</Words>
  <Characters>9622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250</cp:revision>
  <cp:lastPrinted>2018-06-20T10:36:00Z</cp:lastPrinted>
  <dcterms:created xsi:type="dcterms:W3CDTF">2018-04-05T04:33:00Z</dcterms:created>
  <dcterms:modified xsi:type="dcterms:W3CDTF">2018-06-20T11:02:00Z</dcterms:modified>
</cp:coreProperties>
</file>